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FB" w:rsidRDefault="00A206F8" w:rsidP="007B7BFB">
      <w:pPr>
        <w:ind w:right="95"/>
        <w:jc w:val="both"/>
        <w:rPr>
          <w:rFonts w:ascii="Arial" w:hAnsi="Arial"/>
          <w:u w:val="single"/>
        </w:rPr>
      </w:pPr>
      <w:r>
        <w:rPr>
          <w:rFonts w:ascii="Arial" w:hAnsi="Arial"/>
          <w:noProof/>
          <w:u w:val="single"/>
        </w:rPr>
        <w:drawing>
          <wp:anchor distT="0" distB="0" distL="114300" distR="114300" simplePos="0" relativeHeight="251657728" behindDoc="1" locked="0" layoutInCell="1" allowOverlap="1">
            <wp:simplePos x="0" y="0"/>
            <wp:positionH relativeFrom="column">
              <wp:posOffset>3858895</wp:posOffset>
            </wp:positionH>
            <wp:positionV relativeFrom="paragraph">
              <wp:posOffset>-330200</wp:posOffset>
            </wp:positionV>
            <wp:extent cx="1847850" cy="838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47850" cy="838200"/>
                    </a:xfrm>
                    <a:prstGeom prst="rect">
                      <a:avLst/>
                    </a:prstGeom>
                    <a:noFill/>
                  </pic:spPr>
                </pic:pic>
              </a:graphicData>
            </a:graphic>
            <wp14:sizeRelH relativeFrom="page">
              <wp14:pctWidth>0</wp14:pctWidth>
            </wp14:sizeRelH>
            <wp14:sizeRelV relativeFrom="page">
              <wp14:pctHeight>0</wp14:pctHeight>
            </wp14:sizeRelV>
          </wp:anchor>
        </w:drawing>
      </w:r>
      <w:r w:rsidR="001E73CC">
        <w:rPr>
          <w:rFonts w:ascii="Arial" w:hAnsi="Arial"/>
          <w:u w:val="single"/>
        </w:rPr>
        <w:t xml:space="preserve">OFFICER DECISION </w:t>
      </w:r>
      <w:r w:rsidR="009D72AA">
        <w:rPr>
          <w:rFonts w:ascii="Arial" w:hAnsi="Arial"/>
          <w:u w:val="single"/>
        </w:rPr>
        <w:t>RECORD</w:t>
      </w:r>
      <w:r w:rsidR="009D72AA" w:rsidRPr="007B7BFB">
        <w:rPr>
          <w:rFonts w:ascii="Arial" w:hAnsi="Arial"/>
        </w:rPr>
        <w:t xml:space="preserve"> </w:t>
      </w:r>
    </w:p>
    <w:p w:rsidR="00586F20" w:rsidRDefault="00586F20" w:rsidP="00586F20">
      <w:pPr>
        <w:jc w:val="center"/>
        <w:rPr>
          <w:rFonts w:ascii="Arial" w:hAnsi="Arial"/>
          <w:u w:val="single"/>
        </w:rPr>
      </w:pPr>
    </w:p>
    <w:p w:rsidR="009D72AA" w:rsidRPr="0063716B" w:rsidRDefault="009D72AA" w:rsidP="00586F20">
      <w:pPr>
        <w:jc w:val="center"/>
        <w:rPr>
          <w:rFonts w:ascii="Arial" w:hAnsi="Arial"/>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2340"/>
        <w:gridCol w:w="4979"/>
      </w:tblGrid>
      <w:tr w:rsidR="00586F20" w:rsidRPr="00E73D2F" w:rsidTr="00E73D2F">
        <w:tc>
          <w:tcPr>
            <w:tcW w:w="4068" w:type="dxa"/>
            <w:gridSpan w:val="2"/>
            <w:shd w:val="clear" w:color="auto" w:fill="auto"/>
          </w:tcPr>
          <w:p w:rsidR="00586F20" w:rsidRPr="00E73D2F" w:rsidRDefault="009D72AA" w:rsidP="00993D2B">
            <w:pPr>
              <w:rPr>
                <w:rFonts w:ascii="Arial" w:hAnsi="Arial"/>
                <w:b/>
              </w:rPr>
            </w:pPr>
            <w:r w:rsidRPr="00E73D2F">
              <w:rPr>
                <w:rFonts w:ascii="Arial" w:hAnsi="Arial"/>
                <w:b/>
              </w:rPr>
              <w:t>Officer:</w:t>
            </w:r>
            <w:r w:rsidR="007D52C3">
              <w:rPr>
                <w:rFonts w:ascii="Arial" w:hAnsi="Arial"/>
                <w:b/>
              </w:rPr>
              <w:t xml:space="preserve"> </w:t>
            </w:r>
            <w:r w:rsidR="007D52C3">
              <w:rPr>
                <w:rFonts w:ascii="Arial" w:hAnsi="Arial"/>
              </w:rPr>
              <w:t>Sarah Troman</w:t>
            </w:r>
          </w:p>
          <w:p w:rsidR="009D72AA" w:rsidRPr="00E73D2F" w:rsidRDefault="009D72AA" w:rsidP="00993D2B">
            <w:pPr>
              <w:rPr>
                <w:rFonts w:ascii="Arial" w:hAnsi="Arial"/>
              </w:rPr>
            </w:pPr>
          </w:p>
        </w:tc>
        <w:tc>
          <w:tcPr>
            <w:tcW w:w="5040" w:type="dxa"/>
            <w:shd w:val="clear" w:color="auto" w:fill="auto"/>
          </w:tcPr>
          <w:p w:rsidR="00586F20" w:rsidRPr="00E73D2F" w:rsidRDefault="00586F20" w:rsidP="00993D2B">
            <w:pPr>
              <w:rPr>
                <w:rFonts w:ascii="Arial" w:hAnsi="Arial"/>
                <w:b/>
              </w:rPr>
            </w:pPr>
            <w:r w:rsidRPr="00E73D2F">
              <w:rPr>
                <w:rFonts w:ascii="Arial" w:hAnsi="Arial"/>
                <w:b/>
              </w:rPr>
              <w:t>Date of Decision:</w:t>
            </w:r>
            <w:r w:rsidR="00D32A9F">
              <w:rPr>
                <w:rFonts w:ascii="Arial" w:hAnsi="Arial"/>
                <w:b/>
              </w:rPr>
              <w:t xml:space="preserve"> </w:t>
            </w:r>
            <w:r w:rsidR="009B7CE4" w:rsidRPr="00A206F8">
              <w:rPr>
                <w:rFonts w:ascii="Arial" w:hAnsi="Arial"/>
              </w:rPr>
              <w:t>05</w:t>
            </w:r>
            <w:r w:rsidR="00D32A9F" w:rsidRPr="00A206F8">
              <w:rPr>
                <w:rFonts w:ascii="Arial" w:hAnsi="Arial"/>
              </w:rPr>
              <w:t>/04/22</w:t>
            </w:r>
          </w:p>
          <w:p w:rsidR="00E74CDA" w:rsidRPr="00E73D2F" w:rsidRDefault="00E74CDA" w:rsidP="000553E6">
            <w:pPr>
              <w:rPr>
                <w:rFonts w:ascii="Arial" w:hAnsi="Arial"/>
              </w:rPr>
            </w:pPr>
          </w:p>
        </w:tc>
      </w:tr>
      <w:tr w:rsidR="00586F20" w:rsidRPr="00E73D2F" w:rsidTr="00E73D2F">
        <w:tc>
          <w:tcPr>
            <w:tcW w:w="9108" w:type="dxa"/>
            <w:gridSpan w:val="3"/>
            <w:shd w:val="clear" w:color="auto" w:fill="auto"/>
          </w:tcPr>
          <w:p w:rsidR="00586F20" w:rsidRPr="00E73D2F" w:rsidRDefault="00586F20" w:rsidP="00993D2B">
            <w:pPr>
              <w:rPr>
                <w:rFonts w:ascii="Arial" w:hAnsi="Arial"/>
                <w:b/>
              </w:rPr>
            </w:pPr>
            <w:r w:rsidRPr="00E73D2F">
              <w:rPr>
                <w:rFonts w:ascii="Arial" w:hAnsi="Arial"/>
                <w:b/>
              </w:rPr>
              <w:t xml:space="preserve">Title/Reference: </w:t>
            </w:r>
            <w:r w:rsidR="00D32A9F">
              <w:rPr>
                <w:rFonts w:ascii="Arial" w:hAnsi="Arial"/>
              </w:rPr>
              <w:t xml:space="preserve">To </w:t>
            </w:r>
            <w:r w:rsidR="004172D9">
              <w:rPr>
                <w:rFonts w:ascii="Arial" w:hAnsi="Arial"/>
              </w:rPr>
              <w:t>vary Walkden Street car park fee</w:t>
            </w:r>
            <w:r w:rsidR="00D32A9F">
              <w:rPr>
                <w:rFonts w:ascii="Arial" w:hAnsi="Arial"/>
              </w:rPr>
              <w:t>s and charges.</w:t>
            </w:r>
          </w:p>
          <w:p w:rsidR="000553E6" w:rsidRDefault="000553E6" w:rsidP="00E524AE">
            <w:pPr>
              <w:rPr>
                <w:rFonts w:ascii="Arial" w:hAnsi="Arial"/>
              </w:rPr>
            </w:pPr>
          </w:p>
          <w:p w:rsidR="00E74CDA" w:rsidRDefault="00E74CDA" w:rsidP="00E524AE">
            <w:pPr>
              <w:rPr>
                <w:rFonts w:ascii="Arial" w:hAnsi="Arial"/>
              </w:rPr>
            </w:pPr>
            <w:r>
              <w:rPr>
                <w:rFonts w:ascii="Arial" w:hAnsi="Arial"/>
              </w:rPr>
              <w:t xml:space="preserve">Ref: </w:t>
            </w:r>
            <w:r w:rsidR="00D32A9F">
              <w:rPr>
                <w:rFonts w:ascii="Arial" w:hAnsi="Arial"/>
              </w:rPr>
              <w:t>22</w:t>
            </w:r>
            <w:r w:rsidR="00D32A9F">
              <w:rPr>
                <w:rFonts w:ascii="Arial" w:hAnsi="Arial" w:cs="Arial"/>
              </w:rPr>
              <w:t>/19/</w:t>
            </w:r>
            <w:r w:rsidR="007D52C3" w:rsidRPr="00333E0E">
              <w:rPr>
                <w:rFonts w:ascii="Arial" w:hAnsi="Arial" w:cs="Arial"/>
              </w:rPr>
              <w:t>NS</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586F20" w:rsidRPr="000553E6" w:rsidRDefault="009D72AA" w:rsidP="00E524AE">
            <w:pPr>
              <w:rPr>
                <w:rFonts w:ascii="Arial" w:hAnsi="Arial"/>
                <w:b/>
              </w:rPr>
            </w:pPr>
            <w:r w:rsidRPr="00E73D2F">
              <w:rPr>
                <w:rFonts w:ascii="Arial" w:hAnsi="Arial"/>
                <w:b/>
              </w:rPr>
              <w:t>Consultee M</w:t>
            </w:r>
            <w:r w:rsidR="00586F20" w:rsidRPr="00E73D2F">
              <w:rPr>
                <w:rFonts w:ascii="Arial" w:hAnsi="Arial"/>
                <w:b/>
              </w:rPr>
              <w:t>ember (if applicable):</w:t>
            </w:r>
          </w:p>
          <w:p w:rsidR="00E74CDA" w:rsidRPr="00E73D2F" w:rsidRDefault="00E74CDA" w:rsidP="00E524AE">
            <w:pPr>
              <w:rPr>
                <w:rFonts w:ascii="Arial" w:hAnsi="Arial"/>
              </w:rPr>
            </w:pPr>
          </w:p>
        </w:tc>
      </w:tr>
      <w:tr w:rsidR="00586F20" w:rsidRPr="00E73D2F" w:rsidTr="00E73D2F">
        <w:tc>
          <w:tcPr>
            <w:tcW w:w="9108" w:type="dxa"/>
            <w:gridSpan w:val="3"/>
            <w:shd w:val="clear" w:color="auto" w:fill="auto"/>
          </w:tcPr>
          <w:p w:rsidR="007D52C3" w:rsidRDefault="00586F20" w:rsidP="007D52C3">
            <w:pPr>
              <w:jc w:val="both"/>
              <w:rPr>
                <w:rFonts w:ascii="Arial" w:hAnsi="Arial"/>
                <w:b/>
              </w:rPr>
            </w:pPr>
            <w:r w:rsidRPr="00E73D2F">
              <w:rPr>
                <w:rFonts w:ascii="Arial" w:hAnsi="Arial"/>
                <w:b/>
              </w:rPr>
              <w:t>Record of Decision</w:t>
            </w:r>
            <w:r w:rsidR="009D72AA" w:rsidRPr="00E73D2F">
              <w:rPr>
                <w:rFonts w:ascii="Arial" w:hAnsi="Arial"/>
                <w:b/>
              </w:rPr>
              <w:t>:</w:t>
            </w:r>
          </w:p>
          <w:p w:rsidR="007D52C3" w:rsidRDefault="007D52C3" w:rsidP="007D52C3">
            <w:pPr>
              <w:jc w:val="both"/>
              <w:rPr>
                <w:rFonts w:ascii="Arial" w:hAnsi="Arial"/>
                <w:b/>
              </w:rPr>
            </w:pPr>
          </w:p>
          <w:p w:rsidR="007D52C3" w:rsidRPr="001B732D" w:rsidRDefault="007D52C3" w:rsidP="007D52C3">
            <w:pPr>
              <w:jc w:val="both"/>
              <w:rPr>
                <w:rFonts w:ascii="Arial" w:hAnsi="Arial"/>
                <w:b/>
                <w:sz w:val="22"/>
                <w:szCs w:val="22"/>
              </w:rPr>
            </w:pPr>
            <w:r w:rsidRPr="001B732D">
              <w:rPr>
                <w:rFonts w:ascii="Arial" w:hAnsi="Arial"/>
                <w:b/>
                <w:sz w:val="22"/>
                <w:szCs w:val="22"/>
              </w:rPr>
              <w:t>To be resolved by the Head of Neighbourhoods</w:t>
            </w:r>
          </w:p>
          <w:p w:rsidR="007D52C3" w:rsidRDefault="007D52C3" w:rsidP="007D52C3">
            <w:pPr>
              <w:jc w:val="both"/>
              <w:rPr>
                <w:rFonts w:ascii="Arial" w:hAnsi="Arial"/>
                <w:sz w:val="22"/>
                <w:szCs w:val="22"/>
              </w:rPr>
            </w:pPr>
          </w:p>
          <w:p w:rsidR="009C3E0D" w:rsidRDefault="007D52C3" w:rsidP="00D32A9F">
            <w:pPr>
              <w:jc w:val="both"/>
              <w:rPr>
                <w:rFonts w:ascii="Arial" w:hAnsi="Arial"/>
                <w:sz w:val="22"/>
                <w:szCs w:val="22"/>
              </w:rPr>
            </w:pPr>
            <w:r>
              <w:rPr>
                <w:rFonts w:ascii="Arial" w:hAnsi="Arial"/>
                <w:sz w:val="22"/>
                <w:szCs w:val="22"/>
              </w:rPr>
              <w:t xml:space="preserve">1.1 To </w:t>
            </w:r>
            <w:r w:rsidR="00D32A9F">
              <w:rPr>
                <w:rFonts w:ascii="Arial" w:hAnsi="Arial"/>
                <w:sz w:val="22"/>
                <w:szCs w:val="22"/>
              </w:rPr>
              <w:t>provide a period of free parking in Walkden Street car park</w:t>
            </w:r>
            <w:r w:rsidR="004172D9">
              <w:rPr>
                <w:rFonts w:ascii="Arial" w:hAnsi="Arial"/>
                <w:sz w:val="22"/>
                <w:szCs w:val="22"/>
              </w:rPr>
              <w:t xml:space="preserve"> use after extensive closure.</w:t>
            </w:r>
          </w:p>
          <w:p w:rsidR="004172D9" w:rsidRPr="00E73D2F" w:rsidRDefault="004172D9" w:rsidP="00D32A9F">
            <w:pPr>
              <w:jc w:val="both"/>
              <w:rPr>
                <w:rFonts w:ascii="Arial" w:hAnsi="Arial"/>
              </w:rPr>
            </w:pPr>
          </w:p>
        </w:tc>
      </w:tr>
      <w:tr w:rsidR="00586F20" w:rsidRPr="00E73D2F" w:rsidTr="00E73D2F">
        <w:tc>
          <w:tcPr>
            <w:tcW w:w="9108" w:type="dxa"/>
            <w:gridSpan w:val="3"/>
            <w:shd w:val="clear" w:color="auto" w:fill="auto"/>
          </w:tcPr>
          <w:p w:rsidR="007D52C3" w:rsidRDefault="00586F20" w:rsidP="007D52C3">
            <w:pPr>
              <w:rPr>
                <w:rFonts w:ascii="Arial" w:hAnsi="Arial"/>
                <w:b/>
              </w:rPr>
            </w:pPr>
            <w:r w:rsidRPr="00E73D2F">
              <w:rPr>
                <w:rFonts w:ascii="Arial" w:hAnsi="Arial"/>
                <w:b/>
              </w:rPr>
              <w:t>Reasons for decision</w:t>
            </w:r>
            <w:r w:rsidR="009D72AA" w:rsidRPr="00E73D2F">
              <w:rPr>
                <w:rFonts w:ascii="Arial" w:hAnsi="Arial"/>
                <w:b/>
              </w:rPr>
              <w:t>:</w:t>
            </w:r>
            <w:r w:rsidR="007D52C3">
              <w:rPr>
                <w:rFonts w:ascii="Arial" w:hAnsi="Arial"/>
                <w:b/>
              </w:rPr>
              <w:t xml:space="preserve"> </w:t>
            </w:r>
          </w:p>
          <w:p w:rsidR="007D52C3" w:rsidRDefault="007D52C3" w:rsidP="007D52C3">
            <w:pPr>
              <w:rPr>
                <w:rFonts w:ascii="Arial" w:hAnsi="Arial"/>
                <w:b/>
              </w:rPr>
            </w:pPr>
          </w:p>
          <w:p w:rsidR="004172D9" w:rsidRDefault="004172D9" w:rsidP="004172D9">
            <w:pPr>
              <w:rPr>
                <w:rFonts w:ascii="Arial" w:hAnsi="Arial"/>
                <w:sz w:val="22"/>
                <w:szCs w:val="22"/>
              </w:rPr>
            </w:pPr>
            <w:r>
              <w:rPr>
                <w:rFonts w:ascii="Arial" w:hAnsi="Arial"/>
                <w:sz w:val="22"/>
                <w:szCs w:val="22"/>
              </w:rPr>
              <w:t>Walkden Street car park has been closed for at 25 months due to significant works to replace the exterior cladding and internal works to repair the waffle slab, install security fencing and repair expansion joints.</w:t>
            </w:r>
          </w:p>
          <w:p w:rsidR="004172D9" w:rsidRDefault="004172D9" w:rsidP="004172D9">
            <w:pPr>
              <w:rPr>
                <w:rFonts w:ascii="Arial" w:hAnsi="Arial"/>
                <w:sz w:val="22"/>
                <w:szCs w:val="22"/>
              </w:rPr>
            </w:pPr>
          </w:p>
          <w:p w:rsidR="004172D9" w:rsidRDefault="004172D9" w:rsidP="004172D9">
            <w:pPr>
              <w:rPr>
                <w:rFonts w:ascii="Arial" w:hAnsi="Arial"/>
                <w:sz w:val="22"/>
                <w:szCs w:val="22"/>
              </w:rPr>
            </w:pPr>
            <w:r>
              <w:rPr>
                <w:rFonts w:ascii="Arial" w:hAnsi="Arial"/>
                <w:sz w:val="22"/>
                <w:szCs w:val="22"/>
              </w:rPr>
              <w:t>The car park is due to re-open imminently and in order to support the re-opening and encourage the public to use the car park a temporary free period of parking will be introduced.</w:t>
            </w:r>
          </w:p>
          <w:p w:rsidR="004172D9" w:rsidRDefault="004172D9" w:rsidP="004172D9">
            <w:pPr>
              <w:rPr>
                <w:rFonts w:ascii="Arial" w:hAnsi="Arial"/>
                <w:sz w:val="22"/>
                <w:szCs w:val="22"/>
              </w:rPr>
            </w:pPr>
          </w:p>
          <w:p w:rsidR="004172D9" w:rsidRDefault="004172D9" w:rsidP="004172D9">
            <w:pPr>
              <w:rPr>
                <w:rFonts w:ascii="Arial" w:hAnsi="Arial"/>
                <w:sz w:val="22"/>
                <w:szCs w:val="22"/>
              </w:rPr>
            </w:pPr>
            <w:r>
              <w:rPr>
                <w:rFonts w:ascii="Arial" w:hAnsi="Arial"/>
                <w:sz w:val="22"/>
                <w:szCs w:val="22"/>
              </w:rPr>
              <w:t>It is envisaged that once customers use the car park during the free period they will realise the benefits of parking in there and will increase the through</w:t>
            </w:r>
            <w:r w:rsidR="004109DC">
              <w:rPr>
                <w:rFonts w:ascii="Arial" w:hAnsi="Arial"/>
                <w:sz w:val="22"/>
                <w:szCs w:val="22"/>
              </w:rPr>
              <w:t>put</w:t>
            </w:r>
            <w:r>
              <w:rPr>
                <w:rFonts w:ascii="Arial" w:hAnsi="Arial"/>
                <w:sz w:val="22"/>
                <w:szCs w:val="22"/>
              </w:rPr>
              <w:t xml:space="preserve"> and income.</w:t>
            </w:r>
          </w:p>
          <w:p w:rsidR="004172D9" w:rsidRDefault="004172D9" w:rsidP="004172D9">
            <w:pPr>
              <w:rPr>
                <w:rFonts w:ascii="Arial" w:hAnsi="Arial"/>
                <w:sz w:val="22"/>
                <w:szCs w:val="22"/>
              </w:rPr>
            </w:pPr>
          </w:p>
          <w:p w:rsidR="004172D9" w:rsidRDefault="004172D9" w:rsidP="004172D9">
            <w:pPr>
              <w:rPr>
                <w:rFonts w:ascii="Arial" w:hAnsi="Arial"/>
                <w:sz w:val="22"/>
                <w:szCs w:val="22"/>
              </w:rPr>
            </w:pPr>
            <w:r>
              <w:rPr>
                <w:rFonts w:ascii="Arial" w:hAnsi="Arial"/>
                <w:sz w:val="22"/>
                <w:szCs w:val="22"/>
              </w:rPr>
              <w:t>The period of free parking shall be for a minimum of one full week i.e. Monday to Saturday and part-week should the car park re-open mid-week. This is to avoid confusion for customers by introducing charges part way through a week.</w:t>
            </w:r>
          </w:p>
          <w:p w:rsidR="004172D9" w:rsidRDefault="004172D9" w:rsidP="004172D9">
            <w:pPr>
              <w:rPr>
                <w:rFonts w:ascii="Arial" w:hAnsi="Arial"/>
                <w:sz w:val="22"/>
                <w:szCs w:val="22"/>
              </w:rPr>
            </w:pPr>
          </w:p>
          <w:p w:rsidR="004172D9" w:rsidRDefault="004172D9" w:rsidP="004172D9">
            <w:pPr>
              <w:rPr>
                <w:rFonts w:ascii="Arial" w:hAnsi="Arial"/>
                <w:sz w:val="22"/>
                <w:szCs w:val="22"/>
              </w:rPr>
            </w:pPr>
            <w:r>
              <w:rPr>
                <w:rFonts w:ascii="Arial" w:hAnsi="Arial"/>
                <w:sz w:val="22"/>
                <w:szCs w:val="22"/>
              </w:rPr>
              <w:t>It is estimated that the cost to the authority will be approximately £700, which is lower than previous income but based on the 50% reduction in car park income post Covid and initial lack of awareness of the re-opening by the public.</w:t>
            </w:r>
          </w:p>
          <w:p w:rsidR="009C3E0D" w:rsidRPr="00E73D2F" w:rsidRDefault="009C3E0D" w:rsidP="004172D9">
            <w:pPr>
              <w:rPr>
                <w:rFonts w:ascii="Arial" w:hAnsi="Arial"/>
                <w:lang w:val="en-US"/>
              </w:rPr>
            </w:pPr>
          </w:p>
        </w:tc>
      </w:tr>
      <w:tr w:rsidR="003D5331" w:rsidRPr="00E73D2F" w:rsidTr="00E73D2F">
        <w:tc>
          <w:tcPr>
            <w:tcW w:w="9108" w:type="dxa"/>
            <w:gridSpan w:val="3"/>
            <w:shd w:val="clear" w:color="auto" w:fill="auto"/>
          </w:tcPr>
          <w:p w:rsidR="003D5331" w:rsidRDefault="003D5331" w:rsidP="003D5331">
            <w:pPr>
              <w:rPr>
                <w:rFonts w:ascii="Arial" w:hAnsi="Arial"/>
                <w:b/>
              </w:rPr>
            </w:pPr>
            <w:r w:rsidRPr="00E73D2F">
              <w:rPr>
                <w:rFonts w:ascii="Arial" w:hAnsi="Arial"/>
                <w:b/>
              </w:rPr>
              <w:t>Legal Powers / Authority:</w:t>
            </w:r>
          </w:p>
          <w:p w:rsidR="0064554B" w:rsidRDefault="0064554B" w:rsidP="003D5331">
            <w:pPr>
              <w:rPr>
                <w:rFonts w:ascii="Arial" w:hAnsi="Arial"/>
                <w:b/>
              </w:rPr>
            </w:pPr>
          </w:p>
          <w:p w:rsidR="0064554B" w:rsidRPr="0064554B" w:rsidRDefault="0064554B" w:rsidP="0064554B">
            <w:pPr>
              <w:rPr>
                <w:rFonts w:ascii="Arial" w:hAnsi="Arial" w:cs="Arial"/>
                <w:iCs/>
                <w:sz w:val="22"/>
                <w:szCs w:val="22"/>
              </w:rPr>
            </w:pPr>
            <w:r w:rsidRPr="0064554B">
              <w:rPr>
                <w:rFonts w:ascii="Arial" w:hAnsi="Arial" w:cs="Arial"/>
                <w:iCs/>
              </w:rPr>
              <w:t>The constitution stipulates at 3.01.18.1 that the Head of Neighbourhood Services has the power to:</w:t>
            </w:r>
          </w:p>
          <w:p w:rsidR="0064554B" w:rsidRPr="0064554B" w:rsidRDefault="0064554B" w:rsidP="0064554B">
            <w:pPr>
              <w:rPr>
                <w:rFonts w:ascii="Arial" w:hAnsi="Arial" w:cs="Arial"/>
                <w:iCs/>
              </w:rPr>
            </w:pPr>
          </w:p>
          <w:p w:rsidR="0064554B" w:rsidRPr="0064554B" w:rsidRDefault="0064554B" w:rsidP="0064554B">
            <w:pPr>
              <w:rPr>
                <w:rFonts w:ascii="Arial" w:hAnsi="Arial" w:cs="Arial"/>
                <w:iCs/>
              </w:rPr>
            </w:pPr>
            <w:r w:rsidRPr="0064554B">
              <w:rPr>
                <w:rFonts w:ascii="Arial" w:hAnsi="Arial" w:cs="Arial"/>
                <w:iCs/>
              </w:rPr>
              <w:t>“To take all operational decisions in respect of the Council’s functions in respect of car parks, cemeteries and crematorium, fleet, trade waste, waste, transfer station, Hermitage Lane depot, parks and open spaces, street cleansing, town centre management and waste and recycling.”</w:t>
            </w:r>
          </w:p>
          <w:p w:rsidR="009B6FB1" w:rsidRDefault="009B6FB1" w:rsidP="000553E6">
            <w:pPr>
              <w:rPr>
                <w:rFonts w:ascii="Arial" w:hAnsi="Arial"/>
                <w:b/>
              </w:rPr>
            </w:pPr>
          </w:p>
          <w:p w:rsidR="004109DC" w:rsidRPr="009B7CE4" w:rsidRDefault="004109DC" w:rsidP="000553E6">
            <w:pPr>
              <w:rPr>
                <w:rFonts w:ascii="Arial" w:hAnsi="Arial"/>
              </w:rPr>
            </w:pPr>
            <w:r w:rsidRPr="009B7CE4">
              <w:rPr>
                <w:rFonts w:ascii="Arial" w:hAnsi="Arial"/>
              </w:rPr>
              <w:t>Further all Chief Officers are authorised within the constitution as follows:</w:t>
            </w:r>
          </w:p>
          <w:p w:rsidR="004109DC" w:rsidRDefault="004109DC" w:rsidP="000553E6">
            <w:pPr>
              <w:rPr>
                <w:rFonts w:ascii="Arial" w:hAnsi="Arial"/>
              </w:rPr>
            </w:pPr>
            <w:r w:rsidRPr="009B7CE4">
              <w:rPr>
                <w:rFonts w:ascii="Arial" w:hAnsi="Arial"/>
              </w:rPr>
              <w:t>3.01.11.12 Set fees and charges and reduce or waive them in particular cases.</w:t>
            </w:r>
          </w:p>
          <w:p w:rsidR="009B7CE4" w:rsidRPr="00E73D2F" w:rsidRDefault="009B7CE4" w:rsidP="000553E6">
            <w:pPr>
              <w:rPr>
                <w:rFonts w:ascii="Arial" w:hAnsi="Arial"/>
                <w:b/>
              </w:rPr>
            </w:pPr>
          </w:p>
        </w:tc>
      </w:tr>
      <w:tr w:rsidR="00E524AE" w:rsidRPr="00E73D2F" w:rsidTr="00E74CDA">
        <w:trPr>
          <w:trHeight w:val="275"/>
        </w:trPr>
        <w:tc>
          <w:tcPr>
            <w:tcW w:w="1690" w:type="dxa"/>
            <w:vMerge w:val="restart"/>
            <w:shd w:val="clear" w:color="auto" w:fill="auto"/>
          </w:tcPr>
          <w:p w:rsidR="00E524AE" w:rsidRPr="00E73D2F" w:rsidRDefault="00E524AE" w:rsidP="002E566A">
            <w:pPr>
              <w:rPr>
                <w:rFonts w:ascii="Arial" w:hAnsi="Arial"/>
                <w:b/>
              </w:rPr>
            </w:pPr>
            <w:r w:rsidRPr="00E73D2F">
              <w:rPr>
                <w:rFonts w:ascii="Arial" w:hAnsi="Arial"/>
                <w:b/>
              </w:rPr>
              <w:t>Implications:</w:t>
            </w:r>
          </w:p>
          <w:p w:rsidR="00E524AE" w:rsidRPr="00E73D2F" w:rsidRDefault="00E524AE" w:rsidP="002E566A">
            <w:pPr>
              <w:rPr>
                <w:rFonts w:ascii="Arial" w:hAnsi="Arial"/>
                <w:b/>
              </w:rPr>
            </w:pPr>
            <w:r w:rsidRPr="00E73D2F">
              <w:rPr>
                <w:rFonts w:ascii="Arial" w:hAnsi="Arial" w:cs="Arial"/>
              </w:rPr>
              <w:t xml:space="preserve">You should also consult any other relevant </w:t>
            </w:r>
            <w:r w:rsidRPr="00E73D2F">
              <w:rPr>
                <w:rFonts w:ascii="Arial" w:hAnsi="Arial" w:cs="Arial"/>
              </w:rPr>
              <w:lastRenderedPageBreak/>
              <w:t>officers if you think the decision will have an impact on their areas of responsibility.</w:t>
            </w:r>
          </w:p>
        </w:tc>
        <w:tc>
          <w:tcPr>
            <w:tcW w:w="7418" w:type="dxa"/>
            <w:gridSpan w:val="2"/>
            <w:shd w:val="clear" w:color="auto" w:fill="auto"/>
          </w:tcPr>
          <w:p w:rsidR="00E74CDA" w:rsidRDefault="00E524AE" w:rsidP="00E74CDA">
            <w:pPr>
              <w:rPr>
                <w:rFonts w:ascii="Arial" w:hAnsi="Arial"/>
              </w:rPr>
            </w:pPr>
            <w:r>
              <w:rPr>
                <w:rFonts w:ascii="Arial" w:hAnsi="Arial"/>
                <w:b/>
              </w:rPr>
              <w:lastRenderedPageBreak/>
              <w:t>Relevant Legislation:</w:t>
            </w:r>
            <w:r w:rsidR="004109DC">
              <w:rPr>
                <w:rFonts w:ascii="Arial" w:hAnsi="Arial" w:cs="Arial"/>
                <w:color w:val="111111"/>
                <w:sz w:val="22"/>
                <w:szCs w:val="22"/>
              </w:rPr>
              <w:t xml:space="preserve"> N/A</w:t>
            </w:r>
          </w:p>
          <w:p w:rsidR="00E524AE" w:rsidRPr="00E73D2F" w:rsidRDefault="00E524AE" w:rsidP="00E524AE">
            <w:pPr>
              <w:rPr>
                <w:rFonts w:ascii="Arial" w:hAnsi="Arial"/>
                <w:b/>
              </w:rPr>
            </w:pPr>
          </w:p>
        </w:tc>
      </w:tr>
      <w:tr w:rsidR="00E524AE" w:rsidRPr="00E73D2F" w:rsidTr="00E74CDA">
        <w:trPr>
          <w:trHeight w:val="27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7D52C3" w:rsidRDefault="00E524AE" w:rsidP="007D52C3">
            <w:pPr>
              <w:rPr>
                <w:rFonts w:ascii="Arial" w:hAnsi="Arial" w:cs="Arial"/>
              </w:rPr>
            </w:pPr>
            <w:r w:rsidRPr="00E73D2F">
              <w:rPr>
                <w:rFonts w:ascii="Arial" w:hAnsi="Arial"/>
                <w:b/>
              </w:rPr>
              <w:t xml:space="preserve">Finance: </w:t>
            </w:r>
          </w:p>
          <w:p w:rsidR="00E524AE" w:rsidRDefault="004172D9" w:rsidP="00E524AE">
            <w:pPr>
              <w:rPr>
                <w:rFonts w:ascii="Arial" w:hAnsi="Arial"/>
              </w:rPr>
            </w:pPr>
            <w:r>
              <w:rPr>
                <w:rFonts w:ascii="Arial" w:hAnsi="Arial"/>
              </w:rPr>
              <w:t xml:space="preserve">There will be a small financial loss in the short term, which is estimated to be a maximum of £700, but by raising awareness of </w:t>
            </w:r>
            <w:r>
              <w:rPr>
                <w:rFonts w:ascii="Arial" w:hAnsi="Arial"/>
              </w:rPr>
              <w:lastRenderedPageBreak/>
              <w:t>the car park and experience the benefits of parking in there it will in the medium to long term encourage turnover / increase income.</w:t>
            </w:r>
          </w:p>
          <w:p w:rsidR="00E524AE" w:rsidRPr="00E73D2F" w:rsidRDefault="00E524AE" w:rsidP="004172D9">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3D2F" w:rsidRDefault="00E524AE" w:rsidP="00E524AE">
            <w:pPr>
              <w:rPr>
                <w:rFonts w:ascii="Arial" w:hAnsi="Arial"/>
              </w:rPr>
            </w:pPr>
            <w:r w:rsidRPr="00E73D2F">
              <w:rPr>
                <w:rFonts w:ascii="Arial" w:hAnsi="Arial"/>
                <w:b/>
              </w:rPr>
              <w:t xml:space="preserve">HR: </w:t>
            </w:r>
            <w:r w:rsidR="007D52C3">
              <w:rPr>
                <w:rFonts w:ascii="Arial" w:hAnsi="Arial"/>
              </w:rPr>
              <w:t>N/A</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Default="00E524AE" w:rsidP="003D5331">
            <w:pPr>
              <w:rPr>
                <w:rFonts w:ascii="Arial" w:hAnsi="Arial"/>
                <w:b/>
              </w:rPr>
            </w:pPr>
            <w:r>
              <w:rPr>
                <w:rFonts w:ascii="Arial" w:hAnsi="Arial"/>
                <w:b/>
              </w:rPr>
              <w:t>Climate Change:</w:t>
            </w:r>
            <w:r w:rsidR="00E74CDA">
              <w:rPr>
                <w:rFonts w:ascii="Arial" w:hAnsi="Arial"/>
                <w:b/>
              </w:rPr>
              <w:t xml:space="preserve"> </w:t>
            </w:r>
            <w:r w:rsidR="007D52C3">
              <w:rPr>
                <w:rFonts w:ascii="Arial" w:hAnsi="Arial"/>
              </w:rPr>
              <w:t>N/A</w:t>
            </w:r>
          </w:p>
          <w:p w:rsidR="00E524AE" w:rsidRPr="00E73D2F" w:rsidRDefault="00E524AE" w:rsidP="003D5331">
            <w:pPr>
              <w:rPr>
                <w:rFonts w:ascii="Arial" w:hAnsi="Arial"/>
                <w:b/>
              </w:rPr>
            </w:pPr>
          </w:p>
        </w:tc>
      </w:tr>
      <w:tr w:rsidR="00E524AE" w:rsidRPr="00E73D2F" w:rsidTr="00E74CDA">
        <w:trPr>
          <w:trHeight w:val="345"/>
        </w:trPr>
        <w:tc>
          <w:tcPr>
            <w:tcW w:w="1690" w:type="dxa"/>
            <w:vMerge/>
            <w:shd w:val="clear" w:color="auto" w:fill="auto"/>
          </w:tcPr>
          <w:p w:rsidR="00E524AE" w:rsidRPr="00E73D2F" w:rsidRDefault="00E524AE" w:rsidP="002E566A">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Pr>
                <w:rFonts w:ascii="Arial" w:hAnsi="Arial"/>
                <w:b/>
              </w:rPr>
              <w:t>Data Protection:</w:t>
            </w:r>
            <w:r w:rsidR="00E74CDA">
              <w:rPr>
                <w:rFonts w:ascii="Arial" w:hAnsi="Arial"/>
                <w:b/>
              </w:rPr>
              <w:t xml:space="preserve"> </w:t>
            </w:r>
            <w:r w:rsidR="007D52C3">
              <w:rPr>
                <w:rFonts w:ascii="Arial" w:hAnsi="Arial"/>
              </w:rPr>
              <w:t>N/A</w:t>
            </w:r>
          </w:p>
          <w:p w:rsidR="00E524AE" w:rsidRPr="00E73D2F"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Pr="00E74CDA" w:rsidRDefault="00E524AE" w:rsidP="003D5331">
            <w:pPr>
              <w:rPr>
                <w:rFonts w:ascii="Arial" w:hAnsi="Arial"/>
              </w:rPr>
            </w:pPr>
            <w:r w:rsidRPr="00E524AE">
              <w:rPr>
                <w:rFonts w:ascii="Arial" w:hAnsi="Arial"/>
                <w:b/>
              </w:rPr>
              <w:t>Human Rights:</w:t>
            </w:r>
            <w:r w:rsidR="00E74CDA">
              <w:rPr>
                <w:rFonts w:ascii="Arial" w:hAnsi="Arial"/>
                <w:b/>
              </w:rPr>
              <w:t xml:space="preserve"> </w:t>
            </w:r>
            <w:r w:rsidR="007D52C3">
              <w:rPr>
                <w:rFonts w:ascii="Arial" w:hAnsi="Arial"/>
              </w:rPr>
              <w:t>N/A</w:t>
            </w:r>
          </w:p>
          <w:p w:rsidR="00E524AE" w:rsidRPr="00E524AE" w:rsidRDefault="00E524AE" w:rsidP="003D5331">
            <w:pPr>
              <w:rPr>
                <w:rFonts w:ascii="Arial" w:hAnsi="Arial"/>
                <w:b/>
              </w:rPr>
            </w:pPr>
          </w:p>
        </w:tc>
      </w:tr>
      <w:tr w:rsidR="00E524AE" w:rsidRPr="00E73D2F" w:rsidTr="00E74CDA">
        <w:trPr>
          <w:trHeight w:val="325"/>
        </w:trPr>
        <w:tc>
          <w:tcPr>
            <w:tcW w:w="1690" w:type="dxa"/>
            <w:vMerge/>
            <w:shd w:val="clear" w:color="auto" w:fill="auto"/>
          </w:tcPr>
          <w:p w:rsidR="00E524AE" w:rsidRPr="00E73D2F" w:rsidRDefault="00E524AE" w:rsidP="003D5331">
            <w:pPr>
              <w:rPr>
                <w:rFonts w:ascii="Arial" w:hAnsi="Arial"/>
                <w:b/>
              </w:rPr>
            </w:pPr>
          </w:p>
        </w:tc>
        <w:tc>
          <w:tcPr>
            <w:tcW w:w="7418" w:type="dxa"/>
            <w:gridSpan w:val="2"/>
            <w:shd w:val="clear" w:color="auto" w:fill="auto"/>
          </w:tcPr>
          <w:p w:rsidR="00E524AE" w:rsidRDefault="00E524AE" w:rsidP="003D5331">
            <w:pPr>
              <w:rPr>
                <w:rFonts w:ascii="Arial" w:hAnsi="Arial"/>
                <w:b/>
              </w:rPr>
            </w:pPr>
            <w:r w:rsidRPr="00E524AE">
              <w:rPr>
                <w:rFonts w:ascii="Arial" w:hAnsi="Arial"/>
                <w:b/>
              </w:rPr>
              <w:t>Equality and Diversity:</w:t>
            </w:r>
            <w:r w:rsidR="00E74CDA">
              <w:rPr>
                <w:rFonts w:ascii="Arial" w:hAnsi="Arial"/>
                <w:b/>
              </w:rPr>
              <w:t xml:space="preserve"> </w:t>
            </w:r>
            <w:r w:rsidR="007D52C3">
              <w:rPr>
                <w:rFonts w:ascii="Arial" w:hAnsi="Arial"/>
              </w:rPr>
              <w:t>N/A</w:t>
            </w:r>
          </w:p>
          <w:p w:rsidR="00E524AE" w:rsidRPr="00E524AE" w:rsidRDefault="00E524AE" w:rsidP="003D5331">
            <w:pPr>
              <w:rPr>
                <w:rFonts w:ascii="Arial" w:hAnsi="Arial"/>
                <w:b/>
              </w:rPr>
            </w:pPr>
          </w:p>
        </w:tc>
      </w:tr>
      <w:tr w:rsidR="003D5331" w:rsidRPr="00E73D2F" w:rsidTr="00E74CDA">
        <w:trPr>
          <w:trHeight w:val="368"/>
        </w:trPr>
        <w:tc>
          <w:tcPr>
            <w:tcW w:w="1690" w:type="dxa"/>
            <w:vMerge w:val="restart"/>
            <w:shd w:val="clear" w:color="auto" w:fill="auto"/>
          </w:tcPr>
          <w:p w:rsidR="003D5331" w:rsidRPr="00E73D2F" w:rsidRDefault="003D5331" w:rsidP="00E73D2F">
            <w:pPr>
              <w:ind w:right="-109"/>
              <w:rPr>
                <w:rFonts w:ascii="Arial" w:hAnsi="Arial"/>
                <w:b/>
              </w:rPr>
            </w:pPr>
            <w:r w:rsidRPr="00E73D2F">
              <w:rPr>
                <w:rFonts w:ascii="Arial" w:hAnsi="Arial"/>
                <w:b/>
              </w:rPr>
              <w:t>In consultation with:</w:t>
            </w:r>
          </w:p>
          <w:p w:rsidR="003D5331" w:rsidRPr="00E73D2F" w:rsidRDefault="003D5331" w:rsidP="00E73D2F">
            <w:pPr>
              <w:ind w:right="-109"/>
              <w:rPr>
                <w:rFonts w:ascii="Arial" w:hAnsi="Arial"/>
              </w:rPr>
            </w:pPr>
            <w:r w:rsidRPr="00E73D2F">
              <w:rPr>
                <w:rFonts w:ascii="Arial" w:hAnsi="Arial"/>
              </w:rPr>
              <w:t>(Where applicable)</w:t>
            </w:r>
          </w:p>
          <w:p w:rsidR="003D5331" w:rsidRPr="00E73D2F" w:rsidRDefault="003D5331" w:rsidP="00E73D2F">
            <w:pPr>
              <w:ind w:right="-109"/>
              <w:rPr>
                <w:rFonts w:ascii="Arial" w:hAnsi="Arial"/>
                <w:b/>
              </w:rPr>
            </w:pPr>
          </w:p>
        </w:tc>
        <w:tc>
          <w:tcPr>
            <w:tcW w:w="7418" w:type="dxa"/>
            <w:gridSpan w:val="2"/>
            <w:shd w:val="clear" w:color="auto" w:fill="auto"/>
          </w:tcPr>
          <w:p w:rsidR="003D5331" w:rsidRDefault="003D5331" w:rsidP="003D5331">
            <w:pPr>
              <w:rPr>
                <w:rFonts w:ascii="Arial" w:hAnsi="Arial"/>
                <w:b/>
              </w:rPr>
            </w:pPr>
            <w:r w:rsidRPr="00E73D2F">
              <w:rPr>
                <w:rFonts w:ascii="Arial" w:hAnsi="Arial"/>
                <w:b/>
              </w:rPr>
              <w:t>Head of Paid Service:</w:t>
            </w:r>
            <w:r w:rsidR="00A206F8">
              <w:rPr>
                <w:rFonts w:ascii="Arial" w:hAnsi="Arial"/>
                <w:b/>
              </w:rPr>
              <w:t xml:space="preserve"> </w:t>
            </w:r>
            <w:r w:rsidR="00A206F8" w:rsidRPr="00A206F8">
              <w:rPr>
                <w:rFonts w:ascii="Arial" w:hAnsi="Arial"/>
              </w:rPr>
              <w:t>N/A</w:t>
            </w:r>
          </w:p>
          <w:p w:rsidR="00E74CDA" w:rsidRPr="00E73D2F" w:rsidRDefault="00E74CDA" w:rsidP="003D5331">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9B7CE4" w:rsidRDefault="00F13A58" w:rsidP="00E524AE">
            <w:pPr>
              <w:rPr>
                <w:rFonts w:ascii="Arial" w:hAnsi="Arial"/>
              </w:rPr>
            </w:pPr>
            <w:r>
              <w:rPr>
                <w:rFonts w:ascii="Arial" w:hAnsi="Arial"/>
                <w:b/>
              </w:rPr>
              <w:t xml:space="preserve">Deputy </w:t>
            </w:r>
            <w:r w:rsidR="003D5331" w:rsidRPr="00E73D2F">
              <w:rPr>
                <w:rFonts w:ascii="Arial" w:hAnsi="Arial"/>
                <w:b/>
              </w:rPr>
              <w:t>Monitoring Officer:</w:t>
            </w:r>
            <w:r w:rsidR="00A64365">
              <w:rPr>
                <w:rFonts w:ascii="Arial" w:hAnsi="Arial"/>
                <w:b/>
              </w:rPr>
              <w:t xml:space="preserve"> </w:t>
            </w:r>
            <w:r w:rsidR="004109DC" w:rsidRPr="009B7CE4">
              <w:rPr>
                <w:rFonts w:ascii="Arial" w:hAnsi="Arial"/>
              </w:rPr>
              <w:t xml:space="preserve">No specific comments. </w:t>
            </w:r>
          </w:p>
          <w:p w:rsidR="00E74CDA" w:rsidRPr="00E73D2F" w:rsidRDefault="00E74CDA" w:rsidP="00E524AE">
            <w:pPr>
              <w:rPr>
                <w:rFonts w:ascii="Arial" w:hAnsi="Arial"/>
                <w:b/>
              </w:rPr>
            </w:pPr>
          </w:p>
        </w:tc>
      </w:tr>
      <w:tr w:rsidR="003D5331" w:rsidRPr="00E73D2F" w:rsidTr="00E74CDA">
        <w:trPr>
          <w:trHeight w:val="366"/>
        </w:trPr>
        <w:tc>
          <w:tcPr>
            <w:tcW w:w="1690" w:type="dxa"/>
            <w:vMerge/>
            <w:shd w:val="clear" w:color="auto" w:fill="auto"/>
          </w:tcPr>
          <w:p w:rsidR="003D5331" w:rsidRPr="00E73D2F" w:rsidRDefault="003D5331" w:rsidP="00E73D2F">
            <w:pPr>
              <w:ind w:right="-109"/>
              <w:rPr>
                <w:rFonts w:ascii="Arial" w:hAnsi="Arial"/>
                <w:b/>
              </w:rPr>
            </w:pPr>
          </w:p>
        </w:tc>
        <w:tc>
          <w:tcPr>
            <w:tcW w:w="7418" w:type="dxa"/>
            <w:gridSpan w:val="2"/>
            <w:shd w:val="clear" w:color="auto" w:fill="auto"/>
          </w:tcPr>
          <w:p w:rsidR="003D5331" w:rsidRPr="009B7CE4" w:rsidRDefault="003D5331" w:rsidP="000553E6">
            <w:pPr>
              <w:rPr>
                <w:rFonts w:ascii="Arial" w:hAnsi="Arial"/>
              </w:rPr>
            </w:pPr>
            <w:r w:rsidRPr="00E73D2F">
              <w:rPr>
                <w:rFonts w:ascii="Arial" w:hAnsi="Arial"/>
                <w:b/>
              </w:rPr>
              <w:t>Section 151 Officer:</w:t>
            </w:r>
            <w:r w:rsidR="00A64365">
              <w:rPr>
                <w:rFonts w:ascii="Arial" w:hAnsi="Arial"/>
                <w:b/>
              </w:rPr>
              <w:t xml:space="preserve"> </w:t>
            </w:r>
            <w:r w:rsidR="009B7CE4">
              <w:rPr>
                <w:rFonts w:ascii="Arial" w:hAnsi="Arial"/>
              </w:rPr>
              <w:t>No specific comments.</w:t>
            </w:r>
          </w:p>
        </w:tc>
      </w:tr>
      <w:tr w:rsidR="00046933" w:rsidRPr="00E73D2F" w:rsidTr="00E74CDA">
        <w:tc>
          <w:tcPr>
            <w:tcW w:w="1690" w:type="dxa"/>
            <w:shd w:val="clear" w:color="auto" w:fill="auto"/>
          </w:tcPr>
          <w:p w:rsidR="00046933" w:rsidRPr="00E73D2F" w:rsidRDefault="00046933" w:rsidP="00E73D2F">
            <w:pPr>
              <w:ind w:right="-109"/>
              <w:rPr>
                <w:rFonts w:ascii="Arial" w:hAnsi="Arial"/>
                <w:b/>
              </w:rPr>
            </w:pPr>
            <w:r w:rsidRPr="00E73D2F">
              <w:rPr>
                <w:rFonts w:ascii="Arial" w:hAnsi="Arial"/>
                <w:b/>
              </w:rPr>
              <w:t>Signature of Decision Taker:</w:t>
            </w:r>
          </w:p>
          <w:p w:rsidR="002E566A" w:rsidRPr="00E73D2F" w:rsidRDefault="002E566A" w:rsidP="00E73D2F">
            <w:pPr>
              <w:ind w:right="-109"/>
              <w:rPr>
                <w:rFonts w:ascii="Arial" w:hAnsi="Arial"/>
              </w:rPr>
            </w:pPr>
            <w:r w:rsidRPr="00E73D2F">
              <w:rPr>
                <w:rFonts w:ascii="Arial" w:hAnsi="Arial"/>
              </w:rPr>
              <w:t>(Please do not ‘pp’)</w:t>
            </w:r>
          </w:p>
          <w:p w:rsidR="00046933" w:rsidRPr="00E73D2F" w:rsidRDefault="00046933" w:rsidP="00E73D2F">
            <w:pPr>
              <w:ind w:right="-109"/>
              <w:rPr>
                <w:rFonts w:ascii="Arial" w:hAnsi="Arial"/>
                <w:b/>
              </w:rPr>
            </w:pPr>
          </w:p>
        </w:tc>
        <w:tc>
          <w:tcPr>
            <w:tcW w:w="7418" w:type="dxa"/>
            <w:gridSpan w:val="2"/>
            <w:shd w:val="clear" w:color="auto" w:fill="auto"/>
          </w:tcPr>
          <w:p w:rsidR="00046933" w:rsidRPr="00E73D2F" w:rsidRDefault="0084265F" w:rsidP="003D5331">
            <w:pPr>
              <w:rPr>
                <w:rFonts w:ascii="Arial" w:hAnsi="Arial"/>
                <w:b/>
              </w:rPr>
            </w:pPr>
            <w:r>
              <w:rPr>
                <w:rFonts w:ascii="Arial" w:hAnsi="Arial"/>
                <w:b/>
                <w:noProof/>
              </w:rPr>
              <w:t>Sarah Troman</w:t>
            </w:r>
            <w:bookmarkStart w:id="0" w:name="_GoBack"/>
            <w:bookmarkEnd w:id="0"/>
          </w:p>
        </w:tc>
      </w:tr>
    </w:tbl>
    <w:p w:rsidR="00586F20" w:rsidRDefault="00586F20">
      <w:pPr>
        <w:rPr>
          <w:rFonts w:ascii="Arial" w:hAnsi="Arial"/>
        </w:rPr>
      </w:pPr>
    </w:p>
    <w:p w:rsidR="002E566A" w:rsidRDefault="00046933" w:rsidP="00046933">
      <w:pPr>
        <w:rPr>
          <w:rFonts w:ascii="Arial" w:hAnsi="Arial"/>
        </w:rPr>
      </w:pPr>
      <w:r w:rsidRPr="00046933">
        <w:rPr>
          <w:rFonts w:ascii="Arial" w:hAnsi="Arial"/>
        </w:rPr>
        <w:t xml:space="preserve">Please send all decision for publication to: Democratic Services, at </w:t>
      </w:r>
      <w:hyperlink r:id="rId7" w:history="1">
        <w:r w:rsidR="002E4C1F" w:rsidRPr="008A308D">
          <w:rPr>
            <w:rStyle w:val="Hyperlink"/>
            <w:rFonts w:ascii="Arial" w:hAnsi="Arial"/>
          </w:rPr>
          <w:t>democraticservices@mansfield.gov.uk</w:t>
        </w:r>
      </w:hyperlink>
      <w:r w:rsidRPr="00046933">
        <w:rPr>
          <w:rFonts w:ascii="Arial" w:hAnsi="Arial"/>
        </w:rPr>
        <w:t>.</w:t>
      </w:r>
    </w:p>
    <w:p w:rsidR="002E566A" w:rsidRDefault="002E566A" w:rsidP="00046933">
      <w:pPr>
        <w:rPr>
          <w:rFonts w:ascii="Arial" w:hAnsi="Arial"/>
        </w:rPr>
      </w:pPr>
    </w:p>
    <w:p w:rsidR="00046933" w:rsidRDefault="00046933" w:rsidP="00046933">
      <w:pPr>
        <w:rPr>
          <w:rFonts w:ascii="Arial" w:hAnsi="Arial"/>
        </w:rPr>
      </w:pPr>
      <w:r w:rsidRPr="00046933">
        <w:rPr>
          <w:rFonts w:ascii="Arial" w:hAnsi="Arial"/>
        </w:rPr>
        <w:t xml:space="preserve">All decisions with exempt information should be sent to </w:t>
      </w:r>
      <w:r w:rsidR="002E566A">
        <w:rPr>
          <w:rFonts w:ascii="Arial" w:hAnsi="Arial"/>
        </w:rPr>
        <w:t>Mark Pemberton</w:t>
      </w:r>
      <w:r w:rsidRPr="00046933">
        <w:rPr>
          <w:rFonts w:ascii="Arial" w:hAnsi="Arial"/>
        </w:rPr>
        <w:t xml:space="preserve">, Democratic Services Manager at </w:t>
      </w:r>
      <w:hyperlink r:id="rId8" w:history="1">
        <w:r w:rsidR="002E566A" w:rsidRPr="000C5642">
          <w:rPr>
            <w:rStyle w:val="Hyperlink"/>
            <w:rFonts w:ascii="Arial" w:hAnsi="Arial"/>
          </w:rPr>
          <w:t>mpemberton@mansfield.gov.uk</w:t>
        </w:r>
      </w:hyperlink>
      <w:r w:rsidR="002E566A">
        <w:rPr>
          <w:rFonts w:ascii="Arial" w:hAnsi="Arial"/>
        </w:rPr>
        <w:t>.</w:t>
      </w:r>
    </w:p>
    <w:p w:rsidR="002E566A" w:rsidRPr="00046933" w:rsidRDefault="002E566A" w:rsidP="00046933">
      <w:pPr>
        <w:rPr>
          <w:rFonts w:ascii="Arial" w:hAnsi="Arial"/>
        </w:rPr>
      </w:pPr>
    </w:p>
    <w:sectPr w:rsidR="002E566A" w:rsidRPr="00046933" w:rsidSect="00993D2B">
      <w:pgSz w:w="11906" w:h="16838"/>
      <w:pgMar w:top="720" w:right="144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DC3" w:rsidRDefault="00BA1DC3">
      <w:r>
        <w:separator/>
      </w:r>
    </w:p>
  </w:endnote>
  <w:endnote w:type="continuationSeparator" w:id="0">
    <w:p w:rsidR="00BA1DC3" w:rsidRDefault="00BA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DC3" w:rsidRDefault="00BA1DC3">
      <w:r>
        <w:separator/>
      </w:r>
    </w:p>
  </w:footnote>
  <w:footnote w:type="continuationSeparator" w:id="0">
    <w:p w:rsidR="00BA1DC3" w:rsidRDefault="00BA1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F20"/>
    <w:rsid w:val="00020A02"/>
    <w:rsid w:val="00046933"/>
    <w:rsid w:val="000553E6"/>
    <w:rsid w:val="000C2E4B"/>
    <w:rsid w:val="000C7A93"/>
    <w:rsid w:val="00165587"/>
    <w:rsid w:val="001E73CC"/>
    <w:rsid w:val="0024603C"/>
    <w:rsid w:val="00284ECD"/>
    <w:rsid w:val="002D6E1E"/>
    <w:rsid w:val="002E4C1F"/>
    <w:rsid w:val="002E566A"/>
    <w:rsid w:val="00362D1E"/>
    <w:rsid w:val="003A04B0"/>
    <w:rsid w:val="003D1DB4"/>
    <w:rsid w:val="003D5331"/>
    <w:rsid w:val="004109DC"/>
    <w:rsid w:val="004172D9"/>
    <w:rsid w:val="004437AD"/>
    <w:rsid w:val="004A4D03"/>
    <w:rsid w:val="00586F20"/>
    <w:rsid w:val="00640F4F"/>
    <w:rsid w:val="0064554B"/>
    <w:rsid w:val="00675E67"/>
    <w:rsid w:val="006A6907"/>
    <w:rsid w:val="006A76B7"/>
    <w:rsid w:val="006C36F8"/>
    <w:rsid w:val="006C6151"/>
    <w:rsid w:val="00721168"/>
    <w:rsid w:val="00793D98"/>
    <w:rsid w:val="007B7BFB"/>
    <w:rsid w:val="007D52C3"/>
    <w:rsid w:val="0084265F"/>
    <w:rsid w:val="008E35C9"/>
    <w:rsid w:val="00944C47"/>
    <w:rsid w:val="00993D2B"/>
    <w:rsid w:val="009B6FB1"/>
    <w:rsid w:val="009B7CE4"/>
    <w:rsid w:val="009C3E0D"/>
    <w:rsid w:val="009D72AA"/>
    <w:rsid w:val="00A206F8"/>
    <w:rsid w:val="00A64365"/>
    <w:rsid w:val="00AE68C9"/>
    <w:rsid w:val="00B01B98"/>
    <w:rsid w:val="00BA1DC3"/>
    <w:rsid w:val="00BB1318"/>
    <w:rsid w:val="00C0708B"/>
    <w:rsid w:val="00C61517"/>
    <w:rsid w:val="00D32A9F"/>
    <w:rsid w:val="00D70FF0"/>
    <w:rsid w:val="00E4397C"/>
    <w:rsid w:val="00E524AE"/>
    <w:rsid w:val="00E73048"/>
    <w:rsid w:val="00E73D2F"/>
    <w:rsid w:val="00E74CDA"/>
    <w:rsid w:val="00EA57CD"/>
    <w:rsid w:val="00F13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2BAEF"/>
  <w15:chartTrackingRefBased/>
  <w15:docId w15:val="{01E0F305-086D-460A-B4A8-0C70893E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F2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6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86F20"/>
    <w:pPr>
      <w:tabs>
        <w:tab w:val="center" w:pos="4153"/>
        <w:tab w:val="right" w:pos="8306"/>
      </w:tabs>
    </w:pPr>
  </w:style>
  <w:style w:type="character" w:styleId="Hyperlink">
    <w:name w:val="Hyperlink"/>
    <w:uiPriority w:val="99"/>
    <w:unhideWhenUsed/>
    <w:rsid w:val="002E566A"/>
    <w:rPr>
      <w:color w:val="0563C1"/>
      <w:u w:val="single"/>
    </w:rPr>
  </w:style>
  <w:style w:type="paragraph" w:styleId="Header">
    <w:name w:val="header"/>
    <w:basedOn w:val="Normal"/>
    <w:link w:val="HeaderChar"/>
    <w:uiPriority w:val="99"/>
    <w:unhideWhenUsed/>
    <w:rsid w:val="002E566A"/>
    <w:pPr>
      <w:tabs>
        <w:tab w:val="center" w:pos="4513"/>
        <w:tab w:val="right" w:pos="9026"/>
      </w:tabs>
    </w:pPr>
  </w:style>
  <w:style w:type="character" w:customStyle="1" w:styleId="HeaderChar">
    <w:name w:val="Header Char"/>
    <w:link w:val="Header"/>
    <w:uiPriority w:val="99"/>
    <w:rsid w:val="002E566A"/>
    <w:rPr>
      <w:sz w:val="24"/>
      <w:szCs w:val="24"/>
    </w:rPr>
  </w:style>
  <w:style w:type="paragraph" w:styleId="BalloonText">
    <w:name w:val="Balloon Text"/>
    <w:basedOn w:val="Normal"/>
    <w:link w:val="BalloonTextChar"/>
    <w:uiPriority w:val="99"/>
    <w:semiHidden/>
    <w:unhideWhenUsed/>
    <w:rsid w:val="009B7CE4"/>
    <w:rPr>
      <w:rFonts w:ascii="Segoe UI" w:hAnsi="Segoe UI" w:cs="Segoe UI"/>
      <w:sz w:val="18"/>
      <w:szCs w:val="18"/>
    </w:rPr>
  </w:style>
  <w:style w:type="character" w:customStyle="1" w:styleId="BalloonTextChar">
    <w:name w:val="Balloon Text Char"/>
    <w:link w:val="BalloonText"/>
    <w:uiPriority w:val="99"/>
    <w:semiHidden/>
    <w:rsid w:val="009B7CE4"/>
    <w:rPr>
      <w:rFonts w:ascii="Segoe UI" w:hAnsi="Segoe UI" w:cs="Segoe UI"/>
      <w:sz w:val="18"/>
      <w:szCs w:val="18"/>
    </w:rPr>
  </w:style>
  <w:style w:type="paragraph" w:styleId="Revision">
    <w:name w:val="Revision"/>
    <w:hidden/>
    <w:uiPriority w:val="99"/>
    <w:semiHidden/>
    <w:rsid w:val="009B7C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26240">
      <w:bodyDiv w:val="1"/>
      <w:marLeft w:val="0"/>
      <w:marRight w:val="0"/>
      <w:marTop w:val="0"/>
      <w:marBottom w:val="0"/>
      <w:divBdr>
        <w:top w:val="none" w:sz="0" w:space="0" w:color="auto"/>
        <w:left w:val="none" w:sz="0" w:space="0" w:color="auto"/>
        <w:bottom w:val="none" w:sz="0" w:space="0" w:color="auto"/>
        <w:right w:val="none" w:sz="0" w:space="0" w:color="auto"/>
      </w:divBdr>
    </w:div>
    <w:div w:id="1275946390">
      <w:bodyDiv w:val="1"/>
      <w:marLeft w:val="0"/>
      <w:marRight w:val="0"/>
      <w:marTop w:val="0"/>
      <w:marBottom w:val="0"/>
      <w:divBdr>
        <w:top w:val="none" w:sz="0" w:space="0" w:color="auto"/>
        <w:left w:val="none" w:sz="0" w:space="0" w:color="auto"/>
        <w:bottom w:val="none" w:sz="0" w:space="0" w:color="auto"/>
        <w:right w:val="none" w:sz="0" w:space="0" w:color="auto"/>
      </w:divBdr>
    </w:div>
    <w:div w:id="182354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emberton@mansfield.gov.uk" TargetMode="External"/><Relationship Id="rId3" Type="http://schemas.openxmlformats.org/officeDocument/2006/relationships/webSettings" Target="webSettings.xml"/><Relationship Id="rId7" Type="http://schemas.openxmlformats.org/officeDocument/2006/relationships/hyperlink" Target="mailto:democraticservices@mansfiel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468</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RECORD OF DELEGATED DECISION BY</vt:lpstr>
    </vt:vector>
  </TitlesOfParts>
  <Company>Mansfield District Council</Company>
  <LinksUpToDate>false</LinksUpToDate>
  <CharactersWithSpaces>3136</CharactersWithSpaces>
  <SharedDoc>false</SharedDoc>
  <HLinks>
    <vt:vector size="12" baseType="variant">
      <vt:variant>
        <vt:i4>4587560</vt:i4>
      </vt:variant>
      <vt:variant>
        <vt:i4>3</vt:i4>
      </vt:variant>
      <vt:variant>
        <vt:i4>0</vt:i4>
      </vt:variant>
      <vt:variant>
        <vt:i4>5</vt:i4>
      </vt:variant>
      <vt:variant>
        <vt:lpwstr>mailto:mpemberton@mansfield.gov.uk</vt:lpwstr>
      </vt:variant>
      <vt:variant>
        <vt:lpwstr/>
      </vt:variant>
      <vt:variant>
        <vt:i4>6160422</vt:i4>
      </vt:variant>
      <vt:variant>
        <vt:i4>0</vt:i4>
      </vt:variant>
      <vt:variant>
        <vt:i4>0</vt:i4>
      </vt:variant>
      <vt:variant>
        <vt:i4>5</vt:i4>
      </vt:variant>
      <vt:variant>
        <vt:lpwstr>mailto:democraticservices@mansfield.gov.uk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OF DELEGATED DECISION BY</dc:title>
  <dc:subject/>
  <dc:creator>mpemberton</dc:creator>
  <cp:keywords/>
  <dc:description/>
  <cp:lastModifiedBy>Gabriella Wright</cp:lastModifiedBy>
  <cp:revision>3</cp:revision>
  <dcterms:created xsi:type="dcterms:W3CDTF">2022-04-05T09:28:00Z</dcterms:created>
  <dcterms:modified xsi:type="dcterms:W3CDTF">2022-04-05T09:31:00Z</dcterms:modified>
</cp:coreProperties>
</file>